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8B" w:rsidRDefault="00B17E8B" w:rsidP="00B17E8B">
      <w:pPr>
        <w:ind w:left="-567"/>
        <w:rPr>
          <w:rFonts w:ascii="Arial" w:hAnsi="Arial" w:cs="Arial"/>
          <w:color w:val="365F91" w:themeColor="accent1" w:themeShade="BF"/>
          <w:sz w:val="40"/>
          <w:szCs w:val="48"/>
        </w:rPr>
      </w:pPr>
    </w:p>
    <w:p w:rsidR="001C4326" w:rsidRPr="001C4326" w:rsidRDefault="00320E26" w:rsidP="00B17E8B">
      <w:pPr>
        <w:ind w:left="-567"/>
        <w:rPr>
          <w:rFonts w:ascii="Arial" w:hAnsi="Arial" w:cs="Arial"/>
          <w:color w:val="365F91" w:themeColor="accent1" w:themeShade="BF"/>
          <w:sz w:val="40"/>
          <w:szCs w:val="48"/>
          <w:lang w:val="fr-BE"/>
        </w:rPr>
      </w:pPr>
      <w:r w:rsidRPr="001C4326">
        <w:rPr>
          <w:rFonts w:ascii="Arial" w:hAnsi="Arial" w:cs="Arial"/>
          <w:color w:val="365F91" w:themeColor="accent1" w:themeShade="BF"/>
          <w:sz w:val="40"/>
          <w:szCs w:val="48"/>
          <w:lang w:val="fr-BE"/>
        </w:rPr>
        <w:t>METAG</w:t>
      </w:r>
      <w:r w:rsidRPr="001C4326">
        <w:rPr>
          <w:rFonts w:ascii="Arial" w:hAnsi="Arial" w:cs="Arial"/>
          <w:color w:val="365F91" w:themeColor="accent1" w:themeShade="BF"/>
          <w:szCs w:val="48"/>
          <w:lang w:val="fr-BE"/>
        </w:rPr>
        <w:t>®</w:t>
      </w:r>
      <w:r w:rsidRPr="001C4326">
        <w:rPr>
          <w:rFonts w:ascii="Arial" w:hAnsi="Arial" w:cs="Arial"/>
          <w:color w:val="365F91" w:themeColor="accent1" w:themeShade="BF"/>
          <w:sz w:val="40"/>
          <w:szCs w:val="48"/>
          <w:lang w:val="fr-BE"/>
        </w:rPr>
        <w:t xml:space="preserve"> </w:t>
      </w:r>
      <w:r w:rsidR="001C4326" w:rsidRPr="001C4326">
        <w:rPr>
          <w:rFonts w:ascii="Arial" w:hAnsi="Arial" w:cs="Arial"/>
          <w:color w:val="365F91" w:themeColor="accent1" w:themeShade="BF"/>
          <w:sz w:val="40"/>
          <w:szCs w:val="48"/>
          <w:lang w:val="fr-BE"/>
        </w:rPr>
        <w:t>vitrage clamé</w:t>
      </w:r>
    </w:p>
    <w:p w:rsidR="00B17E8B" w:rsidRPr="001C4326" w:rsidRDefault="001C4326" w:rsidP="00B17E8B">
      <w:pPr>
        <w:ind w:left="-567"/>
        <w:rPr>
          <w:rFonts w:ascii="Arial" w:hAnsi="Arial" w:cs="Arial"/>
          <w:color w:val="365F91" w:themeColor="accent1" w:themeShade="BF"/>
          <w:sz w:val="48"/>
          <w:szCs w:val="48"/>
          <w:lang w:val="fr-BE"/>
        </w:rPr>
      </w:pPr>
      <w:r w:rsidRPr="001C4326">
        <w:rPr>
          <w:rFonts w:ascii="Calibri" w:hAnsi="Calibri"/>
          <w:b/>
          <w:color w:val="365F91" w:themeColor="accent1" w:themeShade="BF"/>
          <w:szCs w:val="40"/>
          <w:lang w:val="fr-BE"/>
        </w:rPr>
        <w:t>Cahiers des charges</w:t>
      </w:r>
    </w:p>
    <w:p w:rsidR="00844FD7" w:rsidRPr="001C4326" w:rsidRDefault="00844FD7" w:rsidP="00844FD7">
      <w:pPr>
        <w:ind w:left="-567"/>
        <w:rPr>
          <w:rFonts w:ascii="Calibri" w:hAnsi="Calibri"/>
          <w:color w:val="808080" w:themeColor="background1" w:themeShade="80"/>
          <w:sz w:val="28"/>
          <w:szCs w:val="40"/>
          <w:lang w:val="fr-BE"/>
        </w:rPr>
      </w:pPr>
    </w:p>
    <w:p w:rsidR="00320E26" w:rsidRPr="001C4326" w:rsidRDefault="00320E26" w:rsidP="00320E26">
      <w:pPr>
        <w:ind w:left="567"/>
        <w:rPr>
          <w:rFonts w:ascii="Calibri" w:hAnsi="Calibri"/>
          <w:b/>
          <w:color w:val="333333"/>
          <w:sz w:val="40"/>
          <w:szCs w:val="40"/>
          <w:lang w:val="fr-BE"/>
        </w:rPr>
      </w:pPr>
    </w:p>
    <w:p w:rsidR="001C4326" w:rsidRPr="001C4326" w:rsidRDefault="001C4326" w:rsidP="00320E26">
      <w:pPr>
        <w:spacing w:line="360" w:lineRule="auto"/>
        <w:ind w:left="567"/>
        <w:rPr>
          <w:rFonts w:ascii="Arial" w:hAnsi="Arial" w:cs="Arial"/>
          <w:b/>
          <w:color w:val="595959" w:themeColor="text1" w:themeTint="A6"/>
          <w:sz w:val="28"/>
          <w:szCs w:val="28"/>
          <w:lang w:val="fr-BE"/>
        </w:rPr>
      </w:pPr>
      <w:r w:rsidRPr="001C4326">
        <w:rPr>
          <w:rFonts w:ascii="Arial" w:hAnsi="Arial" w:cs="Arial"/>
          <w:b/>
          <w:color w:val="595959" w:themeColor="text1" w:themeTint="A6"/>
          <w:sz w:val="28"/>
          <w:szCs w:val="28"/>
          <w:lang w:val="fr-BE"/>
        </w:rPr>
        <w:t>Description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Le vitrage du système 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Metag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 est un vitrage de type clamé, un système dans lequel le vitrage est fixé à la structure portante à l’aide de clames ponctuelles. La structure portante n’est pas intégrée dans la surface du vitrage, mais se trouve décalée et indépendante du vitrage.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Le système comporte différents éléments constitutifs, qui sont 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décris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 séparément ci-après. 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Etant donné la haute technicité du système et afin de clairement déterminer les responsabilités dans la garantie, une seule et unique firme sera responsable:</w:t>
      </w:r>
    </w:p>
    <w:p w:rsidR="001C4326" w:rsidRDefault="001C4326" w:rsidP="001C4326">
      <w:pPr>
        <w:numPr>
          <w:ilvl w:val="0"/>
          <w:numId w:val="10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de la production du verre</w:t>
      </w:r>
    </w:p>
    <w:p w:rsidR="001C4326" w:rsidRDefault="001C4326" w:rsidP="001C4326">
      <w:pPr>
        <w:numPr>
          <w:ilvl w:val="0"/>
          <w:numId w:val="10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du calcul d’épaisseur du verre grâce à un programme d’éléments finis</w:t>
      </w:r>
    </w:p>
    <w:p w:rsidR="001C4326" w:rsidRDefault="001C4326" w:rsidP="001C4326">
      <w:pPr>
        <w:numPr>
          <w:ilvl w:val="0"/>
          <w:numId w:val="10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de l’engineering des clames ponctuelles utilisées</w:t>
      </w:r>
    </w:p>
    <w:p w:rsidR="001C4326" w:rsidRDefault="001C4326" w:rsidP="001C4326">
      <w:pPr>
        <w:numPr>
          <w:ilvl w:val="0"/>
          <w:numId w:val="10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du montage des pièces de liaison, des clames et du verre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L’installateur de la façade pourrait donner une liste de références d’au moins 4 projets réalisées en Belgique et aura une agréation en casse Classe 5 catégorie D14 et D20. 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Le système doit obligatoirement disposer d’un rapport technique d’essais réalisés en Belgique par un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organisme reconnu tel que le CSTC, qui atteste de la réussite des essais PV2 décrit ci-après.</w:t>
      </w:r>
    </w:p>
    <w:p w:rsidR="001C4326" w:rsidRDefault="001C4326" w:rsidP="001C43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mallCaps/>
          <w:color w:val="172972"/>
          <w:sz w:val="18"/>
          <w:szCs w:val="18"/>
          <w:lang w:val="fr-FR"/>
        </w:rPr>
      </w:pPr>
    </w:p>
    <w:p w:rsidR="001C4326" w:rsidRPr="001C4326" w:rsidRDefault="001C4326" w:rsidP="001C43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mallCaps/>
          <w:color w:val="595959" w:themeColor="text1" w:themeTint="A6"/>
          <w:sz w:val="28"/>
          <w:szCs w:val="28"/>
          <w:lang w:val="fr-FR"/>
        </w:rPr>
      </w:pPr>
      <w:r w:rsidRPr="001C4326">
        <w:rPr>
          <w:rFonts w:ascii="Arial" w:hAnsi="Arial" w:cs="Arial"/>
          <w:b/>
          <w:bCs/>
          <w:smallCaps/>
          <w:color w:val="595959" w:themeColor="text1" w:themeTint="A6"/>
          <w:sz w:val="28"/>
          <w:szCs w:val="28"/>
          <w:lang w:val="fr-FR"/>
        </w:rPr>
        <w:t>Essai pv</w:t>
      </w:r>
      <w:r w:rsidRPr="001C4326">
        <w:rPr>
          <w:rFonts w:ascii="Arial" w:hAnsi="Arial" w:cs="Arial"/>
          <w:b/>
          <w:bCs/>
          <w:smallCaps/>
          <w:color w:val="595959" w:themeColor="text1" w:themeTint="A6"/>
          <w:sz w:val="28"/>
          <w:szCs w:val="28"/>
          <w:lang w:val="fr-FR"/>
        </w:rPr>
        <w:t>2 adapté suivant la sts52</w:t>
      </w:r>
    </w:p>
    <w:p w:rsidR="001C4326" w:rsidRDefault="001C4326" w:rsidP="001C43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Les cycles de fatigue seront portés de 250 à 500 pulsations.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Le vitrage doit résister aux essais suivants, exécutés dans cet ordre chronologique:</w:t>
      </w:r>
    </w:p>
    <w:p w:rsidR="001C4326" w:rsidRDefault="001C4326" w:rsidP="001C4326">
      <w:pPr>
        <w:numPr>
          <w:ilvl w:val="0"/>
          <w:numId w:val="11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Mesure des déformations du vitrage à 1000 Pa et à -1000 Pa.</w:t>
      </w:r>
    </w:p>
    <w:p w:rsidR="001C4326" w:rsidRDefault="001C4326" w:rsidP="001C4326">
      <w:pPr>
        <w:numPr>
          <w:ilvl w:val="0"/>
          <w:numId w:val="11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Essai de fatigue (Pulsations du vent):</w:t>
      </w:r>
    </w:p>
    <w:p w:rsidR="001C4326" w:rsidRDefault="001C4326" w:rsidP="001C4326">
      <w:pPr>
        <w:numPr>
          <w:ilvl w:val="1"/>
          <w:numId w:val="11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500 cycles de 0 à 750 Pa</w:t>
      </w:r>
    </w:p>
    <w:p w:rsidR="001C4326" w:rsidRDefault="001C4326" w:rsidP="001C4326">
      <w:pPr>
        <w:numPr>
          <w:ilvl w:val="1"/>
          <w:numId w:val="11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500 cycles de 0 à -750 Pa</w:t>
      </w:r>
    </w:p>
    <w:p w:rsidR="001C4326" w:rsidRDefault="001C4326" w:rsidP="001C4326">
      <w:pPr>
        <w:numPr>
          <w:ilvl w:val="0"/>
          <w:numId w:val="11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Mesure des déformations du vitrage à 1000 Pa et à -1000 Pa.</w:t>
      </w:r>
    </w:p>
    <w:p w:rsidR="001C4326" w:rsidRDefault="001C4326" w:rsidP="001C4326">
      <w:pPr>
        <w:numPr>
          <w:ilvl w:val="0"/>
          <w:numId w:val="11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Essai de sécurité jusqu'à 2000 Pa en pression et dépression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Un rapport officiel de l'essai décrit, établi par un organisme reconnu tel le CSTB, est obligatoirement à soumettre.</w:t>
      </w:r>
    </w:p>
    <w:p w:rsidR="001C4326" w:rsidRDefault="001C4326" w:rsidP="001C4326">
      <w:pPr>
        <w:jc w:val="both"/>
        <w:rPr>
          <w:rFonts w:ascii="Arial" w:hAnsi="Arial" w:cs="Arial"/>
          <w:b/>
          <w:bCs/>
          <w:color w:val="646567"/>
          <w:sz w:val="18"/>
          <w:szCs w:val="18"/>
          <w:lang w:val="fr-FR"/>
        </w:rPr>
      </w:pPr>
    </w:p>
    <w:p w:rsidR="001C4326" w:rsidRDefault="001C4326" w:rsidP="001C43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72972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172972"/>
          <w:sz w:val="28"/>
          <w:szCs w:val="28"/>
          <w:lang w:val="fr-FR"/>
        </w:rPr>
        <w:br w:type="page"/>
      </w:r>
      <w:r w:rsidRPr="001C4326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fr-FR"/>
        </w:rPr>
        <w:lastRenderedPageBreak/>
        <w:t>L’épaisseur du vitrage</w:t>
      </w:r>
    </w:p>
    <w:p w:rsidR="001C4326" w:rsidRDefault="001C4326" w:rsidP="001C43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Les épaisseurs de vitrage à mettre en œuvre sont déterminées par calcul à l’aide d’un logiciel spécifique de calcul aux éléments finis.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Une note de calculs est à soumettre à l’approbation du bureau de contrôle (le cas échéant), de l’architecte et de l’entrepreneur.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Les calculs imposeront le type de vitrage devant être utilisé: vitrage trempé, durci ou non trempé (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Float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>).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S’il doit être fait usage de vitrage trempé, il doit être conforme au procédé de trempe thermique spécialement mis au point pour le vitrage structurel, qui se différentie par :</w:t>
      </w:r>
    </w:p>
    <w:p w:rsidR="001C4326" w:rsidRDefault="001C4326" w:rsidP="001C4326">
      <w:pPr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le suivi d’un cahier des charges très spécifique</w:t>
      </w:r>
    </w:p>
    <w:p w:rsidR="001C4326" w:rsidRDefault="001C4326" w:rsidP="001C4326">
      <w:pPr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la trempe à un taux plus élevé, pour obtenir une résistance mécanique supérieure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Le niveau de trempe doit être supérieur ou égal à 120 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Mpa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. Ceci doit être contrôlé à l’aide d’un appareillage particulier, tel qu’un 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épibioscope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. La tension de surface après le 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heat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soak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 test (optionnelle) doit être au minimum de 120 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Mpa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. Chaque volume est optionnellement soumis au 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Heat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Soak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 Test.</w:t>
      </w:r>
    </w:p>
    <w:p w:rsidR="001C4326" w:rsidRDefault="001C4326" w:rsidP="001C43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72972"/>
          <w:sz w:val="18"/>
          <w:szCs w:val="18"/>
          <w:lang w:val="fr-FR"/>
        </w:rPr>
      </w:pPr>
    </w:p>
    <w:p w:rsidR="001C4326" w:rsidRPr="001C4326" w:rsidRDefault="001C4326" w:rsidP="001C43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fr-FR"/>
        </w:rPr>
      </w:pPr>
      <w:r w:rsidRPr="001C4326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fr-FR"/>
        </w:rPr>
        <w:t xml:space="preserve">HEAT SOAK TEST </w:t>
      </w:r>
      <w:r w:rsidRPr="001C4326">
        <w:rPr>
          <w:rFonts w:ascii="Arial" w:hAnsi="Arial" w:cs="Arial"/>
          <w:b/>
          <w:bCs/>
          <w:smallCaps/>
          <w:color w:val="595959" w:themeColor="text1" w:themeTint="A6"/>
          <w:sz w:val="28"/>
          <w:szCs w:val="28"/>
          <w:lang w:val="fr-FR"/>
        </w:rPr>
        <w:t>(option)</w:t>
      </w:r>
    </w:p>
    <w:p w:rsidR="001C4326" w:rsidRDefault="001C4326" w:rsidP="001C43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Le 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Heat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Soak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 Test a pour but d’éliminer au maximum les risques de casse spontanée après pose des vitrages, due aux inclusions de nickel-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sulfide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. Les vitrages défectueux sont détruits lors du test. Tous les vitrages livrés et placés ont donc subi positivement ce test. 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Durant le 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Heat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Soak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 Test, le vitrage est chauffé une nouvelle fois jusqu’à une température de 280 °C, est maintenu durant une période donnée à cette haute température et est ensuite progressivement refroidi sous contrôle.</w:t>
      </w:r>
    </w:p>
    <w:p w:rsidR="001C4326" w:rsidRDefault="001C4326" w:rsidP="001C43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72972"/>
          <w:sz w:val="18"/>
          <w:szCs w:val="18"/>
          <w:lang w:val="fr-FR"/>
        </w:rPr>
      </w:pPr>
    </w:p>
    <w:p w:rsidR="001C4326" w:rsidRPr="001C4326" w:rsidRDefault="001C4326" w:rsidP="001C43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fr-BE"/>
        </w:rPr>
      </w:pPr>
      <w:r w:rsidRPr="001C4326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fr-BE"/>
        </w:rPr>
        <w:t xml:space="preserve">Les clames </w:t>
      </w:r>
      <w:r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fr-BE"/>
        </w:rPr>
        <w:t>METAG</w:t>
      </w:r>
    </w:p>
    <w:p w:rsidR="001C4326" w:rsidRPr="001C4326" w:rsidRDefault="001C4326" w:rsidP="001C43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BE"/>
        </w:rPr>
      </w:pP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Les clames sont en acier inox S 316 et les parties visibles seront brossées au grain 80.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Les clames doivent faire l’objet d’un calcul de stabilité, conformément à l’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Eurocode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 3.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Une note de calculs est à soumettre à l’approbation du bureau de contrôle (le cas échéant), de l’architecte et de l’entrepreneur.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La clame se compose de deux parties, et doit pouvoir reprendre tant le poids des vitrages que les charges climatiques (vent, neige), et transmettre ces charges à la structure portante.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La partie de la clame qui reprend le poids des vitrages doit supporter au minimum la moitié de l’épaisseur de la feuille extérieure plus un millimètre.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Entre la clame et le vitrage se trouve un profil en silicone préformé, ayant une dureté de 60 à 65 Shore A. Ce profil en silicone préformé doit être compatible avec le silicone utilisé pour l’étanchéité des joints.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De commun accord avec l’architecte (et le bureau de contrôle le cas échéant), les clames du système 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Metag</w:t>
      </w:r>
      <w:proofErr w:type="spellEnd"/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 doivent être positionnées de manière optimale afin d’obtenir des épaisseurs de vitrages les plus réduites possibles.</w:t>
      </w:r>
    </w:p>
    <w:p w:rsidR="001C4326" w:rsidRDefault="001C4326" w:rsidP="001C4326">
      <w:pPr>
        <w:jc w:val="both"/>
        <w:rPr>
          <w:rFonts w:ascii="Arial" w:hAnsi="Arial" w:cs="Arial"/>
          <w:b/>
          <w:bCs/>
          <w:color w:val="646567"/>
          <w:sz w:val="18"/>
          <w:szCs w:val="18"/>
          <w:lang w:val="fr-FR"/>
        </w:rPr>
      </w:pPr>
    </w:p>
    <w:p w:rsidR="001C4326" w:rsidRPr="001C4326" w:rsidRDefault="001C4326" w:rsidP="001C43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fr-FR"/>
        </w:rPr>
      </w:pPr>
      <w:r w:rsidRPr="001C4326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fr-FR"/>
        </w:rPr>
        <w:t>Assemblage en vitrage isolant</w:t>
      </w:r>
    </w:p>
    <w:p w:rsidR="001C4326" w:rsidRDefault="001C4326" w:rsidP="001C43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 xml:space="preserve">Les deux verres sont séparés par une lame d’air déshydraté de 15 </w:t>
      </w:r>
      <w:proofErr w:type="spellStart"/>
      <w:r>
        <w:rPr>
          <w:rFonts w:ascii="Arial" w:hAnsi="Arial" w:cs="Arial"/>
          <w:bCs/>
          <w:color w:val="646567"/>
          <w:sz w:val="18"/>
          <w:szCs w:val="18"/>
          <w:lang w:val="fr-FR"/>
        </w:rPr>
        <w:t>mm.</w:t>
      </w:r>
      <w:proofErr w:type="spellEnd"/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Le scellement périphérique des doubles vitrages est réalisé en silicone, stable aux rayons ultra-violets et résistants aux contraintes climatiques.</w:t>
      </w:r>
    </w:p>
    <w:p w:rsidR="001C4326" w:rsidRDefault="001C4326" w:rsidP="001C43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72972"/>
          <w:sz w:val="28"/>
          <w:szCs w:val="28"/>
          <w:lang w:val="fr-FR"/>
        </w:rPr>
      </w:pPr>
    </w:p>
    <w:p w:rsidR="001C4326" w:rsidRPr="001C4326" w:rsidRDefault="001C4326" w:rsidP="001C43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fr-FR"/>
        </w:rPr>
      </w:pPr>
      <w:r w:rsidRPr="001C4326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fr-FR"/>
        </w:rPr>
        <w:t>Joints de fermeture</w:t>
      </w:r>
    </w:p>
    <w:p w:rsidR="001C4326" w:rsidRDefault="001C4326" w:rsidP="001C43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Les joints de fermeture sont constitués:</w:t>
      </w:r>
    </w:p>
    <w:p w:rsidR="001C4326" w:rsidRDefault="001C4326" w:rsidP="001C4326">
      <w:pPr>
        <w:numPr>
          <w:ilvl w:val="0"/>
          <w:numId w:val="13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d’une part d’un profil en silicone préformé, pourvu de canaux de ventilation et de drainage. Ce profil a un recouvrement minimum sur le vitrage côté intérieur et ménage une profondeur de 5 mm dans le joint entre vitrages pour la couche imperméable décrite ci-après.</w:t>
      </w:r>
    </w:p>
    <w:p w:rsidR="001C4326" w:rsidRDefault="001C4326" w:rsidP="001C4326">
      <w:pPr>
        <w:numPr>
          <w:ilvl w:val="0"/>
          <w:numId w:val="13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d’autre part, du côté extérieur on injectera un joint étanche à l’eau en mastic silicone, contre le joint en silicone préformé mentionné ci-dessus.</w:t>
      </w:r>
    </w:p>
    <w:p w:rsidR="001C4326" w:rsidRDefault="001C4326" w:rsidP="001C4326">
      <w:pPr>
        <w:numPr>
          <w:ilvl w:val="0"/>
          <w:numId w:val="13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une attestation, basée sur un rapport de tests, de la compatibilité entre le profil silicone et le silicone d’étanchéité sera présentée.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Cs/>
          <w:color w:val="646567"/>
          <w:sz w:val="18"/>
          <w:szCs w:val="18"/>
          <w:lang w:val="fr-FR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Les clames doivent être siliconées du côté extérieur à l’aide du même mastic silicone.</w:t>
      </w:r>
    </w:p>
    <w:p w:rsidR="001C4326" w:rsidRDefault="001C4326" w:rsidP="001C4326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/>
          <w:szCs w:val="20"/>
          <w:lang w:val="fr-FR" w:eastAsia="en-US"/>
        </w:rPr>
      </w:pPr>
      <w:r>
        <w:rPr>
          <w:rFonts w:ascii="Arial" w:hAnsi="Arial" w:cs="Arial"/>
          <w:bCs/>
          <w:color w:val="646567"/>
          <w:sz w:val="18"/>
          <w:szCs w:val="18"/>
          <w:lang w:val="fr-FR"/>
        </w:rPr>
        <w:t>Une attention particulière est apportée à la compatibilité entre tous les produits intervenants dans ce système. Des attestations de compatibilités doivent être présentées.</w:t>
      </w:r>
    </w:p>
    <w:p w:rsidR="009900C0" w:rsidRPr="00D22D44" w:rsidRDefault="009900C0" w:rsidP="00320E26">
      <w:pPr>
        <w:pStyle w:val="Corpsdetexte"/>
        <w:spacing w:line="360" w:lineRule="auto"/>
        <w:ind w:left="540"/>
        <w:rPr>
          <w:rFonts w:cs="Arial"/>
          <w:color w:val="646567"/>
          <w:sz w:val="18"/>
          <w:szCs w:val="18"/>
          <w:lang w:val="nl-BE"/>
        </w:rPr>
      </w:pPr>
      <w:bookmarkStart w:id="0" w:name="_GoBack"/>
      <w:bookmarkEnd w:id="0"/>
    </w:p>
    <w:sectPr w:rsidR="009900C0" w:rsidRPr="00D22D44" w:rsidSect="00076352">
      <w:headerReference w:type="default" r:id="rId9"/>
      <w:footerReference w:type="default" r:id="rId10"/>
      <w:pgSz w:w="11906" w:h="16838"/>
      <w:pgMar w:top="709" w:right="849" w:bottom="1135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38" w:rsidRDefault="00B63738" w:rsidP="005C0A58">
      <w:r>
        <w:separator/>
      </w:r>
    </w:p>
  </w:endnote>
  <w:endnote w:type="continuationSeparator" w:id="0">
    <w:p w:rsidR="00B63738" w:rsidRDefault="00B63738" w:rsidP="005C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52" w:rsidRDefault="00076352" w:rsidP="00076352">
    <w:pPr>
      <w:pStyle w:val="Pieddepage"/>
      <w:tabs>
        <w:tab w:val="clear" w:pos="4536"/>
        <w:tab w:val="clear" w:pos="9072"/>
      </w:tabs>
      <w:ind w:left="-567"/>
      <w:jc w:val="both"/>
      <w:rPr>
        <w:rFonts w:ascii="Arial" w:hAnsi="Arial" w:cs="Arial"/>
        <w:color w:val="808080" w:themeColor="background1" w:themeShade="80"/>
        <w:sz w:val="20"/>
      </w:rPr>
    </w:pPr>
    <w:r w:rsidRPr="00076352">
      <w:rPr>
        <w:rFonts w:ascii="Arial" w:hAnsi="Arial" w:cs="Arial"/>
        <w:color w:val="808080" w:themeColor="background1" w:themeShade="80"/>
        <w:sz w:val="20"/>
      </w:rPr>
      <w:t>www.glassolutions</w:t>
    </w:r>
    <w:r>
      <w:rPr>
        <w:rFonts w:ascii="Arial" w:hAnsi="Arial" w:cs="Arial"/>
        <w:color w:val="808080" w:themeColor="background1" w:themeShade="80"/>
        <w:sz w:val="20"/>
      </w:rPr>
      <w:t>.be</w:t>
    </w:r>
    <w:r w:rsidR="0033333B"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  <w:t xml:space="preserve">           </w:t>
    </w:r>
    <w:r w:rsidR="0033333B">
      <w:rPr>
        <w:rFonts w:ascii="Arial" w:hAnsi="Arial" w:cs="Arial"/>
        <w:color w:val="808080" w:themeColor="background1" w:themeShade="80"/>
        <w:sz w:val="20"/>
      </w:rPr>
      <w:t>glassinfo.be</w:t>
    </w:r>
    <w:r>
      <w:rPr>
        <w:rFonts w:ascii="Arial" w:hAnsi="Arial" w:cs="Arial"/>
        <w:color w:val="808080" w:themeColor="background1" w:themeShade="80"/>
        <w:sz w:val="20"/>
      </w:rPr>
      <w:t>@</w:t>
    </w:r>
    <w:r w:rsidR="0033333B">
      <w:rPr>
        <w:rFonts w:ascii="Arial" w:hAnsi="Arial" w:cs="Arial"/>
        <w:color w:val="808080" w:themeColor="background1" w:themeShade="80"/>
        <w:sz w:val="20"/>
      </w:rPr>
      <w:t>saint-gobain-glass.com</w:t>
    </w:r>
  </w:p>
  <w:p w:rsidR="0033333B" w:rsidRPr="0033333B" w:rsidRDefault="0033333B" w:rsidP="00076352">
    <w:pPr>
      <w:pStyle w:val="Pieddepage"/>
      <w:tabs>
        <w:tab w:val="clear" w:pos="4536"/>
        <w:tab w:val="clear" w:pos="9072"/>
      </w:tabs>
      <w:ind w:left="-567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38" w:rsidRDefault="00B63738" w:rsidP="005C0A58">
      <w:r>
        <w:separator/>
      </w:r>
    </w:p>
  </w:footnote>
  <w:footnote w:type="continuationSeparator" w:id="0">
    <w:p w:rsidR="00B63738" w:rsidRDefault="00B63738" w:rsidP="005C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58" w:rsidRPr="005C0A58" w:rsidRDefault="00B17E8B" w:rsidP="005C0A58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7A474A21" wp14:editId="72098599">
          <wp:extent cx="1647825" cy="704850"/>
          <wp:effectExtent l="0" t="0" r="9525" b="0"/>
          <wp:docPr id="1" name="Image 2" descr="55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55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28" t="27544" r="18002" b="58992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C7ABB"/>
    <w:multiLevelType w:val="hybridMultilevel"/>
    <w:tmpl w:val="7B0E6B98"/>
    <w:lvl w:ilvl="0" w:tplc="D5B4E6DA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  <w:color w:val="646567"/>
      </w:rPr>
    </w:lvl>
    <w:lvl w:ilvl="1" w:tplc="0413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653A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CB4291"/>
    <w:multiLevelType w:val="hybridMultilevel"/>
    <w:tmpl w:val="C8E48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D7DA8"/>
    <w:multiLevelType w:val="hybridMultilevel"/>
    <w:tmpl w:val="360268F6"/>
    <w:lvl w:ilvl="0" w:tplc="0413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2AE326D"/>
    <w:multiLevelType w:val="hybridMultilevel"/>
    <w:tmpl w:val="8F16A6C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05167"/>
    <w:multiLevelType w:val="hybridMultilevel"/>
    <w:tmpl w:val="B6EC1418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67D2456"/>
    <w:multiLevelType w:val="hybridMultilevel"/>
    <w:tmpl w:val="5870461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921F2A"/>
    <w:multiLevelType w:val="hybridMultilevel"/>
    <w:tmpl w:val="C53E7B9E"/>
    <w:lvl w:ilvl="0" w:tplc="50B6B16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54CC7"/>
    <w:multiLevelType w:val="hybridMultilevel"/>
    <w:tmpl w:val="7B584C0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422BA"/>
    <w:multiLevelType w:val="hybridMultilevel"/>
    <w:tmpl w:val="E2B6DF7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DD3CE7"/>
    <w:multiLevelType w:val="hybridMultilevel"/>
    <w:tmpl w:val="0EFC1C1E"/>
    <w:lvl w:ilvl="0" w:tplc="25ACB952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9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2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D7"/>
    <w:rsid w:val="000034A9"/>
    <w:rsid w:val="000323EE"/>
    <w:rsid w:val="000326A6"/>
    <w:rsid w:val="00076352"/>
    <w:rsid w:val="000A3EF3"/>
    <w:rsid w:val="00114494"/>
    <w:rsid w:val="001261FC"/>
    <w:rsid w:val="0013747B"/>
    <w:rsid w:val="001C4326"/>
    <w:rsid w:val="001D6787"/>
    <w:rsid w:val="002216F8"/>
    <w:rsid w:val="002E0900"/>
    <w:rsid w:val="00320E26"/>
    <w:rsid w:val="0033333B"/>
    <w:rsid w:val="0035535E"/>
    <w:rsid w:val="00392850"/>
    <w:rsid w:val="003B7A34"/>
    <w:rsid w:val="003C0B93"/>
    <w:rsid w:val="00425A5E"/>
    <w:rsid w:val="00427DBC"/>
    <w:rsid w:val="004309A6"/>
    <w:rsid w:val="004A06F2"/>
    <w:rsid w:val="004A6BC6"/>
    <w:rsid w:val="004D2218"/>
    <w:rsid w:val="004D6B54"/>
    <w:rsid w:val="00510841"/>
    <w:rsid w:val="00541916"/>
    <w:rsid w:val="00551A61"/>
    <w:rsid w:val="005552DF"/>
    <w:rsid w:val="00562468"/>
    <w:rsid w:val="0057513C"/>
    <w:rsid w:val="005A38EB"/>
    <w:rsid w:val="005C0A58"/>
    <w:rsid w:val="005C54D3"/>
    <w:rsid w:val="00603DAF"/>
    <w:rsid w:val="0069726D"/>
    <w:rsid w:val="006D1A13"/>
    <w:rsid w:val="00721CE4"/>
    <w:rsid w:val="00731C80"/>
    <w:rsid w:val="007416DF"/>
    <w:rsid w:val="00772EA4"/>
    <w:rsid w:val="007C3F65"/>
    <w:rsid w:val="00843F45"/>
    <w:rsid w:val="00844FD7"/>
    <w:rsid w:val="00856841"/>
    <w:rsid w:val="0087422B"/>
    <w:rsid w:val="008B2D90"/>
    <w:rsid w:val="008D1203"/>
    <w:rsid w:val="00962D90"/>
    <w:rsid w:val="009712D4"/>
    <w:rsid w:val="00983C8E"/>
    <w:rsid w:val="009900C0"/>
    <w:rsid w:val="009B542E"/>
    <w:rsid w:val="00A16A53"/>
    <w:rsid w:val="00A225AB"/>
    <w:rsid w:val="00A27ACF"/>
    <w:rsid w:val="00A52155"/>
    <w:rsid w:val="00A54840"/>
    <w:rsid w:val="00A86075"/>
    <w:rsid w:val="00AB4DB8"/>
    <w:rsid w:val="00AC3663"/>
    <w:rsid w:val="00AD4CA5"/>
    <w:rsid w:val="00AE5E7E"/>
    <w:rsid w:val="00B10EF5"/>
    <w:rsid w:val="00B11238"/>
    <w:rsid w:val="00B17E8B"/>
    <w:rsid w:val="00B562CB"/>
    <w:rsid w:val="00B63738"/>
    <w:rsid w:val="00C15F8C"/>
    <w:rsid w:val="00C90C8F"/>
    <w:rsid w:val="00CA0D9E"/>
    <w:rsid w:val="00CD7B95"/>
    <w:rsid w:val="00CE52ED"/>
    <w:rsid w:val="00D22D44"/>
    <w:rsid w:val="00D30955"/>
    <w:rsid w:val="00D44A1C"/>
    <w:rsid w:val="00D773A2"/>
    <w:rsid w:val="00D875C6"/>
    <w:rsid w:val="00DD2556"/>
    <w:rsid w:val="00DF68CA"/>
    <w:rsid w:val="00E76ADF"/>
    <w:rsid w:val="00EE0755"/>
    <w:rsid w:val="00F02692"/>
    <w:rsid w:val="00F06EE4"/>
    <w:rsid w:val="00F83ADB"/>
    <w:rsid w:val="00F849DB"/>
    <w:rsid w:val="00FC644A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A58"/>
    <w:rPr>
      <w:rFonts w:ascii="Tahoma" w:eastAsia="Times New Roman" w:hAnsi="Tahoma" w:cs="Tahoma"/>
      <w:sz w:val="16"/>
      <w:szCs w:val="16"/>
      <w:lang w:eastAsia="nl-NL"/>
    </w:rPr>
  </w:style>
  <w:style w:type="character" w:styleId="lev">
    <w:name w:val="Strong"/>
    <w:basedOn w:val="Policepardfaut"/>
    <w:uiPriority w:val="22"/>
    <w:qFormat/>
    <w:rsid w:val="00392850"/>
    <w:rPr>
      <w:b/>
      <w:bCs/>
    </w:rPr>
  </w:style>
  <w:style w:type="character" w:styleId="Lienhypertexte">
    <w:name w:val="Hyperlink"/>
    <w:basedOn w:val="Policepardfaut"/>
    <w:uiPriority w:val="99"/>
    <w:unhideWhenUsed/>
    <w:rsid w:val="0033333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552DF"/>
  </w:style>
  <w:style w:type="paragraph" w:styleId="Paragraphedeliste">
    <w:name w:val="List Paragraph"/>
    <w:basedOn w:val="Normal"/>
    <w:uiPriority w:val="34"/>
    <w:qFormat/>
    <w:rsid w:val="0035535E"/>
    <w:pPr>
      <w:ind w:left="720"/>
      <w:contextualSpacing/>
    </w:pPr>
  </w:style>
  <w:style w:type="paragraph" w:customStyle="1" w:styleId="Default">
    <w:name w:val="Default"/>
    <w:rsid w:val="00320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Corpsdetexte">
    <w:name w:val="Body Text"/>
    <w:basedOn w:val="Default"/>
    <w:next w:val="Default"/>
    <w:link w:val="CorpsdetexteCar"/>
    <w:rsid w:val="00320E26"/>
    <w:rPr>
      <w:rFonts w:cs="Times New Roman"/>
      <w:color w:val="auto"/>
    </w:rPr>
  </w:style>
  <w:style w:type="character" w:customStyle="1" w:styleId="CorpsdetexteCar">
    <w:name w:val="Corps de texte Car"/>
    <w:basedOn w:val="Policepardfaut"/>
    <w:link w:val="Corpsdetexte"/>
    <w:rsid w:val="00320E26"/>
    <w:rPr>
      <w:rFonts w:ascii="Arial" w:eastAsia="Times New Roman" w:hAnsi="Arial" w:cs="Times New Roman"/>
      <w:sz w:val="24"/>
      <w:szCs w:val="24"/>
      <w:lang w:eastAsia="nl-NL"/>
    </w:rPr>
  </w:style>
  <w:style w:type="paragraph" w:customStyle="1" w:styleId="streepje">
    <w:name w:val="streepje"/>
    <w:basedOn w:val="Normal"/>
    <w:rsid w:val="00320E26"/>
    <w:pPr>
      <w:tabs>
        <w:tab w:val="left" w:pos="567"/>
        <w:tab w:val="left" w:pos="1134"/>
      </w:tabs>
      <w:ind w:left="567" w:hanging="141"/>
    </w:pPr>
    <w:rPr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A58"/>
    <w:rPr>
      <w:rFonts w:ascii="Tahoma" w:eastAsia="Times New Roman" w:hAnsi="Tahoma" w:cs="Tahoma"/>
      <w:sz w:val="16"/>
      <w:szCs w:val="16"/>
      <w:lang w:eastAsia="nl-NL"/>
    </w:rPr>
  </w:style>
  <w:style w:type="character" w:styleId="lev">
    <w:name w:val="Strong"/>
    <w:basedOn w:val="Policepardfaut"/>
    <w:uiPriority w:val="22"/>
    <w:qFormat/>
    <w:rsid w:val="00392850"/>
    <w:rPr>
      <w:b/>
      <w:bCs/>
    </w:rPr>
  </w:style>
  <w:style w:type="character" w:styleId="Lienhypertexte">
    <w:name w:val="Hyperlink"/>
    <w:basedOn w:val="Policepardfaut"/>
    <w:uiPriority w:val="99"/>
    <w:unhideWhenUsed/>
    <w:rsid w:val="0033333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552DF"/>
  </w:style>
  <w:style w:type="paragraph" w:styleId="Paragraphedeliste">
    <w:name w:val="List Paragraph"/>
    <w:basedOn w:val="Normal"/>
    <w:uiPriority w:val="34"/>
    <w:qFormat/>
    <w:rsid w:val="0035535E"/>
    <w:pPr>
      <w:ind w:left="720"/>
      <w:contextualSpacing/>
    </w:pPr>
  </w:style>
  <w:style w:type="paragraph" w:customStyle="1" w:styleId="Default">
    <w:name w:val="Default"/>
    <w:rsid w:val="00320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Corpsdetexte">
    <w:name w:val="Body Text"/>
    <w:basedOn w:val="Default"/>
    <w:next w:val="Default"/>
    <w:link w:val="CorpsdetexteCar"/>
    <w:rsid w:val="00320E26"/>
    <w:rPr>
      <w:rFonts w:cs="Times New Roman"/>
      <w:color w:val="auto"/>
    </w:rPr>
  </w:style>
  <w:style w:type="character" w:customStyle="1" w:styleId="CorpsdetexteCar">
    <w:name w:val="Corps de texte Car"/>
    <w:basedOn w:val="Policepardfaut"/>
    <w:link w:val="Corpsdetexte"/>
    <w:rsid w:val="00320E26"/>
    <w:rPr>
      <w:rFonts w:ascii="Arial" w:eastAsia="Times New Roman" w:hAnsi="Arial" w:cs="Times New Roman"/>
      <w:sz w:val="24"/>
      <w:szCs w:val="24"/>
      <w:lang w:eastAsia="nl-NL"/>
    </w:rPr>
  </w:style>
  <w:style w:type="paragraph" w:customStyle="1" w:styleId="streepje">
    <w:name w:val="streepje"/>
    <w:basedOn w:val="Normal"/>
    <w:rsid w:val="00320E26"/>
    <w:pPr>
      <w:tabs>
        <w:tab w:val="left" w:pos="567"/>
        <w:tab w:val="left" w:pos="1134"/>
      </w:tabs>
      <w:ind w:left="567" w:hanging="141"/>
    </w:pPr>
    <w:rPr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26EB-0FF4-46F0-A90E-7AA4C3D8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841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1.8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Smets, Ivo</dc:creator>
  <cp:lastModifiedBy>Bonnave, Laura</cp:lastModifiedBy>
  <cp:revision>8</cp:revision>
  <cp:lastPrinted>2016-05-09T05:40:00Z</cp:lastPrinted>
  <dcterms:created xsi:type="dcterms:W3CDTF">2016-06-14T13:47:00Z</dcterms:created>
  <dcterms:modified xsi:type="dcterms:W3CDTF">2017-02-27T11:25:00Z</dcterms:modified>
</cp:coreProperties>
</file>